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1108F0E1" w:rsidR="00A24A7E" w:rsidRPr="006E423B" w:rsidRDefault="000908A1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R26-12  Measurement Informatics on Synchrotron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0908A1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0908A1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0908A1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0908A1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0908A1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0908A1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0908A1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0908A1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0908A1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0908A1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0908A1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08A1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