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204BA2DA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017EAA">
        <w:rPr>
          <w:rFonts w:ascii="Times New Roman" w:hAnsi="Times New Roman"/>
          <w:b/>
          <w:i/>
          <w:color w:val="FF0000"/>
          <w:sz w:val="18"/>
          <w:szCs w:val="18"/>
        </w:rPr>
        <w:t>10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017EAA" w:rsidRPr="00017EAA">
        <w:rPr>
          <w:rFonts w:ascii="Times New Roman" w:hAnsi="Times New Roman"/>
          <w:b/>
          <w:i/>
          <w:color w:val="FF0000"/>
          <w:sz w:val="18"/>
          <w:szCs w:val="18"/>
        </w:rPr>
        <w:t>Synchrotron Radiation Imaging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017EAA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3E17DDE1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017EAA">
      <w:rPr>
        <w:rFonts w:ascii="Times New Roman" w:hAnsi="Times New Roman"/>
        <w:b/>
        <w:color w:val="FFFFFF"/>
      </w:rPr>
      <w:t>10</w:t>
    </w:r>
    <w:r>
      <w:rPr>
        <w:rFonts w:ascii="Times New Roman" w:hAnsi="Times New Roman" w:hint="eastAsia"/>
        <w:b/>
        <w:color w:val="FFFFFF"/>
      </w:rPr>
      <w:t xml:space="preserve"> (</w:t>
    </w:r>
    <w:r w:rsidR="00017EAA" w:rsidRPr="00017EAA">
      <w:rPr>
        <w:rFonts w:ascii="Times New Roman" w:hAnsi="Times New Roman"/>
        <w:b/>
        <w:color w:val="FFFFFF"/>
      </w:rPr>
      <w:t>Synchrotron Radiation Imaging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17EAA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2024-02-28T05:56:00Z</dcterms:modified>
</cp:coreProperties>
</file>