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4655AA26" w:rsidR="00A24A7E" w:rsidRPr="00EC0E4B" w:rsidRDefault="00246252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R26-04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先進超伝導線材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246252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246252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246252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246252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246252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246252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246252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246252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246252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246252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246252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4625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